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бюджетирования и управления денежными потоками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бюджетирования и управления денежными потоками»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«Организация бюджетирования и управления денежными потоками».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бюджетирования и управления денежными потоками»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знатьметодические документы по бюджетированию и управлению денежными потоками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отечественный и зарубежный опыт в бюджетирования и управления денежными потоками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определять объем работ по бюджетированию и финансовому планированию и потребность в трудовых, финансовых и материально-технических ресурсах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разрабатывать внутренние организационно-распорядительные документы, в том числе регламентирующие порядок проведения работ в системе бюджетирования и управления денежными потоками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формировать структуру бюджетов денежных средств, а также перспективных, текущих и оперативных финансовых планов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планировать объемы, последовательность и сроки выполнения работ по составлению бюджетов денежных средств и финансовых планов, контролировать их соблюдение, координировать взаимодействие работников экономического субъекта в процессе выполнения работ по бюджетированию и управлению денежными потоками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применять результаты финансового анализа экономического субъекта для целей бюджетирования и управления денежными потоками, применять методы финансовых вычислений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уметь определять общую потребность экономического субъекта в финансовых ресурсах, прогнозировать структуру источников финансирования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уметь осуществлять проверку качества составления бюджетов денежных средств и финансовых планов</w:t>
            </w:r>
          </w:p>
        </w:tc>
      </w:tr>
      <w:tr>
        <w:trPr>
          <w:trHeight w:hRule="exact" w:val="447.02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уметь обеспечивать доведение плановых показателей до непосредственных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исполнителей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уметь обеспечивать передачу документов по бюджетированию и управлению денежными потоками в архив в установленные сроки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ПК-1.38 владеть навыками организации, координации и контроля выполнения работ в процессе бюджетирования и управления денежными потоками в экономическом субъекте</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ПК-1.41 владеть навыками руководства работой по управлению финансами исходя из стратегических целей и перспектив развития экономического субъекта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ПК-1.43 владеть навыками составления отчетов об исполнении бюджетов денежных средств, финансовых планов и осуществления контроля целевого использования средств, соблюдения финансовой дисциплины и своевременности расчетов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ПК-1.45 владеть навыками организации хранения документов по бюджетированию и движению денежных потоков в экономическом субъекте</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ПК-1.46 владеть навыками разработки внутренних организационно-распорядительных документов, в том числе регламентирующих порядок проведения работ в системе бюджетирования и управления денежными потоками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«Организация бюджетирования и управления денежными потоками» относится к обязательной части, является дисциплиной Блока Б1. «Дисциплины (модули)».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037.79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бухгалтерской (финансовой) отчетности</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Финансовая и учетная политика предприятия</w:t>
            </w:r>
          </w:p>
          <w:p>
            <w:pPr>
              <w:jc w:val="center"/>
              <w:spacing w:after="0" w:line="240" w:lineRule="auto"/>
              <w:rPr>
                <w:sz w:val="22"/>
                <w:szCs w:val="22"/>
              </w:rPr>
            </w:pPr>
            <w:r>
              <w:rPr>
                <w:rFonts w:ascii="Times New Roman" w:hAnsi="Times New Roman" w:cs="Times New Roman"/>
                <w:color w:val="#000000"/>
                <w:sz w:val="22"/>
                <w:szCs w:val="22"/>
              </w:rPr>
              <w:t> Финансы</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Экономика, организация производства и управления в хозяйствующем субъекте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автоматизированной обработки данных</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экономического субъекта</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положения бюджетирования и управления денежными потоками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структура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структура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Практические аспекты бюджетирования и управления денежными потоками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Операционные бюджеты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 движения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управления бюджетами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Бюджеты как инструмент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Автоматизация бюджетного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Операционные бюджеты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 движения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управления бюджетами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Бюджеты как инструмент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Автоматизация бюджетного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401.72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в системе управления предприятием</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системы бюджетирования, характеристика ее элементов. Характеристика принципов бюджетирования. Сущность, цели и задачи управленческого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структура компании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Места возникновения затрат. Центры финансового учета. Центры финансовой ответственности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Операционные бюджеты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и порядок составления следующих бюджетов: продаж, запасов готовой продукции, производства, прямых материальных затрат и  затрат труда, производственных и накладных расходов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 доходов и расходов.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формата бюджета доходов и расходов. Технология составления бюджета доходов и расходов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 движения денежных средств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формата бюджета движения денежных средств. Технология составления бюджета движения денежных средств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управления бюджетами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взаимодействия служб при составлении бюджетов. Системы материального стимулирования и бюджеты. График документооборота.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Бюджеты как инструмент финансового контроля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Бюджетный контроль: цели, формы, принципы, контроль с прямой и обратной связью</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Автоматизация бюджетного управления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программному обеспечению. Проблемы автоматизации бюджетирования.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в системе управления предприятием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системы бюджетирования, характеристика ее элементов. Характеристика принципов бюджетирования. Сущность, цели и задачи управленческого учета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структура компании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Места возникновения затрат. Центры финансового учета. Центры финансовой ответственности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Операционные бюджеты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и порядок составления следующих бюджетов: продаж, запасов готовой продукции, производства, прямых материальных затрат и  затрат труда, производственных и накладных расходов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 доходов и расходов.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формата бюджета доходов и расходов. Технология составления бюджета доходов и расходов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 движения денежных средств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формата бюджета движения денежных средств. Технология составления бюджета движения денежных средств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управления бюджетами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взаимодействия служб при составлении бюджетов. Системы материального стимулирования и бюджеты. График документооборота.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Бюджеты как инструмент финансового контроля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Бюджетный контроль: цели, формы, принципы, контроль с прямой и обратной связью</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Автоматизация бюджетного управления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программному обеспечению. Проблемы автоматизации бюджетирования.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бюджетирования и управления денежными потоками» / Гавриленко Н.Г..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Виткалова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978-5-394-02203-6.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http://www.iprbookshop.ru/83131.html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Гамаюнов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978-5-534-07386-7.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https://urait.ru/bcode/437425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Семь</w:t>
            </w:r>
            <w:r>
              <w:rPr/>
              <w:t xml:space="preserve"> </w:t>
            </w:r>
            <w:r>
              <w:rPr>
                <w:rFonts w:ascii="Times New Roman" w:hAnsi="Times New Roman" w:cs="Times New Roman"/>
                <w:color w:val="#000000"/>
                <w:sz w:val="24"/>
                <w:szCs w:val="24"/>
              </w:rPr>
              <w:t>практических</w:t>
            </w:r>
            <w:r>
              <w:rPr/>
              <w:t xml:space="preserve"> </w:t>
            </w:r>
            <w:r>
              <w:rPr>
                <w:rFonts w:ascii="Times New Roman" w:hAnsi="Times New Roman" w:cs="Times New Roman"/>
                <w:color w:val="#000000"/>
                <w:sz w:val="24"/>
                <w:szCs w:val="24"/>
              </w:rPr>
              <w:t>шагов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https://urait.ru/bcode/452645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стратегия,</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2-х</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Белолипцев,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Кабирова,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Чувилин,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стратегия,</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2-х</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978-5-907166-06-6.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http://www.iprbookshop.ru/94572.html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909.8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2023-2024_ФГОС3++2023_Бак-ОФО-Э(УАиА)(23)_plx_Организация бюджетирования и управления денежными потоками</dc:title>
  <dc:creator>FastReport.NET</dc:creator>
</cp:coreProperties>
</file>